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54" w:rsidRDefault="00267654" w:rsidP="00267654"/>
    <w:p w:rsidR="00267654" w:rsidRDefault="00267654" w:rsidP="002676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773B1" wp14:editId="7C3E3F8E">
                <wp:simplePos x="0" y="0"/>
                <wp:positionH relativeFrom="column">
                  <wp:posOffset>279326</wp:posOffset>
                </wp:positionH>
                <wp:positionV relativeFrom="paragraph">
                  <wp:posOffset>2091</wp:posOffset>
                </wp:positionV>
                <wp:extent cx="1043491" cy="247426"/>
                <wp:effectExtent l="0" t="0" r="2349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491" cy="24742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2pt;margin-top:.15pt;width:82.1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" fillcolor="#c2d69b [1942]" strokecolor="#c2d69b [1942]" strokeweight="2pt"/>
            </w:pict>
          </mc:Fallback>
        </mc:AlternateContent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დოკუმენტები</w:t>
      </w:r>
      <w:r>
        <w:rPr>
          <w:rFonts w:ascii="Sylfaen" w:hAnsi="Sylfaen"/>
          <w:lang w:val="ka-GE"/>
        </w:rPr>
        <w:t xml:space="preserve"> კიდევ იქნება გასარჩევი, ბევრი დეტალია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>ამ ეტაპზე მხოლოდ აუცილებელი მინიმუმი ამოვიღე</w:t>
      </w:r>
    </w:p>
    <w:p w:rsidR="00267654" w:rsidRPr="001F3757" w:rsidRDefault="00267654" w:rsidP="00267654">
      <w:pPr>
        <w:pStyle w:val="ListParagraph"/>
        <w:ind w:left="2610"/>
        <w:rPr>
          <w:rFonts w:ascii="Sylfaen" w:hAnsi="Sylfaen"/>
          <w:lang w:val="ka-GE"/>
        </w:rPr>
      </w:pPr>
    </w:p>
    <w:p w:rsidR="00267654" w:rsidRPr="001F3757" w:rsidRDefault="00267654" w:rsidP="002676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A85C2" wp14:editId="79CA1F44">
                <wp:simplePos x="0" y="0"/>
                <wp:positionH relativeFrom="column">
                  <wp:posOffset>280035</wp:posOffset>
                </wp:positionH>
                <wp:positionV relativeFrom="paragraph">
                  <wp:posOffset>-1681</wp:posOffset>
                </wp:positionV>
                <wp:extent cx="1043305" cy="247015"/>
                <wp:effectExtent l="0" t="0" r="2349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47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2.05pt;margin-top:-.15pt;width:82.15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" fillcolor="#d8d8d8 [2732]" strokecolor="#d8d8d8 [2732]" strokeweight="2pt"/>
            </w:pict>
          </mc:Fallback>
        </mc:AlternateContent>
      </w:r>
      <w:r>
        <w:rPr>
          <w:rFonts w:ascii="Sylfaen" w:hAnsi="Sylfaen"/>
          <w:lang w:val="ka-GE"/>
        </w:rPr>
        <w:t>ვაჟა ეს ინფორმაცია შენ თუ არ გჭირდება, ჩვენ არ გვინდა მაშინ</w:t>
      </w:r>
    </w:p>
    <w:tbl>
      <w:tblPr>
        <w:tblStyle w:val="TableGrid"/>
        <w:tblpPr w:leftFromText="180" w:rightFromText="180" w:vertAnchor="text" w:horzAnchor="margin" w:tblpXSpec="center" w:tblpY="1257"/>
        <w:tblOverlap w:val="never"/>
        <w:tblW w:w="14058" w:type="dxa"/>
        <w:tblLook w:val="04A0" w:firstRow="1" w:lastRow="0" w:firstColumn="1" w:lastColumn="0" w:noHBand="0" w:noVBand="1"/>
      </w:tblPr>
      <w:tblGrid>
        <w:gridCol w:w="3528"/>
        <w:gridCol w:w="4050"/>
        <w:gridCol w:w="4950"/>
        <w:gridCol w:w="1530"/>
      </w:tblGrid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ListParagraph"/>
              <w:rPr>
                <w:b/>
                <w:sz w:val="28"/>
                <w:szCs w:val="28"/>
              </w:rPr>
            </w:pPr>
          </w:p>
          <w:p w:rsidR="00267654" w:rsidRPr="007C677E" w:rsidRDefault="00267654" w:rsidP="00267654">
            <w:pPr>
              <w:jc w:val="center"/>
              <w:rPr>
                <w:b/>
                <w:sz w:val="28"/>
                <w:szCs w:val="28"/>
              </w:rPr>
            </w:pPr>
            <w:r w:rsidRPr="007C677E">
              <w:rPr>
                <w:b/>
                <w:sz w:val="28"/>
                <w:szCs w:val="28"/>
              </w:rPr>
              <w:t>Link</w:t>
            </w:r>
          </w:p>
        </w:tc>
        <w:tc>
          <w:tcPr>
            <w:tcW w:w="4050" w:type="dxa"/>
          </w:tcPr>
          <w:p w:rsidR="00267654" w:rsidRPr="007C677E" w:rsidRDefault="00267654" w:rsidP="00267654">
            <w:pPr>
              <w:jc w:val="center"/>
              <w:rPr>
                <w:b/>
                <w:sz w:val="28"/>
                <w:szCs w:val="28"/>
              </w:rPr>
            </w:pPr>
            <w:r w:rsidRPr="007C677E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4950" w:type="dxa"/>
          </w:tcPr>
          <w:p w:rsidR="00267654" w:rsidRPr="007C677E" w:rsidRDefault="00267654" w:rsidP="00267654">
            <w:pPr>
              <w:jc w:val="center"/>
              <w:rPr>
                <w:b/>
                <w:sz w:val="28"/>
                <w:szCs w:val="28"/>
              </w:rPr>
            </w:pPr>
            <w:r w:rsidRPr="007C677E"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1530" w:type="dxa"/>
          </w:tcPr>
          <w:p w:rsidR="00267654" w:rsidRPr="007C677E" w:rsidRDefault="00267654" w:rsidP="00267654">
            <w:pPr>
              <w:jc w:val="center"/>
              <w:rPr>
                <w:b/>
                <w:sz w:val="28"/>
                <w:szCs w:val="28"/>
              </w:rPr>
            </w:pPr>
            <w:r w:rsidRPr="007C677E">
              <w:rPr>
                <w:b/>
                <w:sz w:val="28"/>
                <w:szCs w:val="28"/>
              </w:rPr>
              <w:t>Page</w:t>
            </w:r>
          </w:p>
        </w:tc>
      </w:tr>
      <w:tr w:rsidR="00267654" w:rsidTr="00E007E4">
        <w:tc>
          <w:tcPr>
            <w:tcW w:w="14058" w:type="dxa"/>
            <w:gridSpan w:val="4"/>
          </w:tcPr>
          <w:p w:rsidR="00267654" w:rsidRPr="00267654" w:rsidRDefault="00267654" w:rsidP="00267654">
            <w:pPr>
              <w:jc w:val="center"/>
              <w:rPr>
                <w:b/>
              </w:rPr>
            </w:pPr>
            <w:r w:rsidRPr="00267654">
              <w:rPr>
                <w:rFonts w:ascii="Sylfaen" w:hAnsi="Sylfaen"/>
                <w:b/>
                <w:lang w:val="ka-GE"/>
              </w:rPr>
              <w:t>ინფორმაცია წამლის გვერდითი მოვლენების შესახებ</w:t>
            </w:r>
          </w:p>
        </w:tc>
      </w:tr>
      <w:tr w:rsidR="00267654" w:rsidTr="00267654">
        <w:tc>
          <w:tcPr>
            <w:tcW w:w="3528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ADRMatchDrugsToAdverseReactions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a complete list of drugs and identifies matches between a given drug and its adverse drug reactions. Also provides outliers (such as 'drugs with no ADR', 'ADRs with no drugs', or 'unidentified ids').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GSDD_V40_API_AdverseDrugReactions</w:t>
            </w:r>
            <w:r w:rsidRPr="00307C0C">
              <w:rPr>
                <w:rFonts w:cstheme="minorHAnsi"/>
                <w:lang w:val="ka-GE"/>
              </w:rPr>
              <w:t xml:space="preserve">  </w:t>
            </w:r>
          </w:p>
        </w:tc>
        <w:tc>
          <w:tcPr>
            <w:tcW w:w="153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7</w:t>
            </w:r>
          </w:p>
        </w:tc>
      </w:tr>
      <w:tr w:rsidR="00267654" w:rsidTr="00267654">
        <w:tc>
          <w:tcPr>
            <w:tcW w:w="3528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ListTherapeuticConceptTree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the entire Therapeutic Concept tree, along with all Parent-Child relationships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GSDD_V40_API_AdverseDrugReactions</w:t>
            </w:r>
            <w:r w:rsidRPr="00307C0C">
              <w:rPr>
                <w:rFonts w:cstheme="minorHAnsi"/>
                <w:lang w:val="ka-GE"/>
              </w:rPr>
              <w:t xml:space="preserve"> </w:t>
            </w:r>
          </w:p>
        </w:tc>
        <w:tc>
          <w:tcPr>
            <w:tcW w:w="153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7</w:t>
            </w:r>
          </w:p>
        </w:tc>
      </w:tr>
      <w:tr w:rsidR="00267654" w:rsidTr="00267654">
        <w:tc>
          <w:tcPr>
            <w:tcW w:w="3528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ADRAdverseReactionsByDrug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all adverse reactions (side-effects) associated with the requested drug or drug concept, and identifies whether the adverse drug reaction includes a black box warning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GSDD_V40_API_AdverseDrugReactions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proofErr w:type="gramStart"/>
            <w:r w:rsidRPr="00307C0C">
              <w:rPr>
                <w:rFonts w:cstheme="minorHAnsi"/>
                <w:lang w:val="ka-GE"/>
              </w:rPr>
              <w:t xml:space="preserve">-  </w:t>
            </w:r>
            <w:r w:rsidRPr="00307C0C">
              <w:rPr>
                <w:rFonts w:ascii="Sylfaen" w:hAnsi="Sylfaen" w:cs="Sylfaen"/>
                <w:lang w:val="ka-GE"/>
              </w:rPr>
              <w:t>ეს</w:t>
            </w:r>
            <w:proofErr w:type="gramEnd"/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იგივე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უნდა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იყოს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რაც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პირველ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ლინკი</w:t>
            </w:r>
            <w:r w:rsidRPr="00307C0C">
              <w:rPr>
                <w:rFonts w:cstheme="minorHAnsi"/>
                <w:lang w:val="ka-GE"/>
              </w:rPr>
              <w:t xml:space="preserve">, </w:t>
            </w:r>
            <w:r w:rsidRPr="00307C0C">
              <w:rPr>
                <w:rFonts w:ascii="Sylfaen" w:hAnsi="Sylfaen" w:cs="Sylfaen"/>
                <w:lang w:val="ka-GE"/>
              </w:rPr>
              <w:t>მხოლოდ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ინფორმაციის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წყარო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უნდა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იყოს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სხვა</w:t>
            </w:r>
            <w:r w:rsidRPr="00307C0C">
              <w:rPr>
                <w:rFonts w:cstheme="minorHAnsi"/>
                <w:lang w:val="ka-GE"/>
              </w:rPr>
              <w:t xml:space="preserve">. </w:t>
            </w:r>
          </w:p>
        </w:tc>
        <w:tc>
          <w:tcPr>
            <w:tcW w:w="153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7</w:t>
            </w:r>
          </w:p>
        </w:tc>
      </w:tr>
      <w:tr w:rsidR="00267654" w:rsidTr="00267654">
        <w:tc>
          <w:tcPr>
            <w:tcW w:w="3528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ADRDrugsByDiagnosis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information about drugs indicated for a particular disease, and provides </w:t>
            </w:r>
            <w:r w:rsidRPr="00307C0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associated drug related adverse drug reaction information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lastRenderedPageBreak/>
              <w:t>GSDD_V40_API_AdverseDrugReactions</w:t>
            </w:r>
            <w:r w:rsidRPr="00307C0C">
              <w:rPr>
                <w:rFonts w:cstheme="minorHAnsi"/>
                <w:lang w:val="ka-GE"/>
              </w:rPr>
              <w:t xml:space="preserve"> - </w:t>
            </w:r>
            <w:r w:rsidRPr="00307C0C">
              <w:rPr>
                <w:rFonts w:ascii="Sylfaen" w:hAnsi="Sylfaen" w:cs="Sylfaen"/>
                <w:lang w:val="ka-GE"/>
              </w:rPr>
              <w:t>იგივე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ინფორმაციაა</w:t>
            </w:r>
            <w:r w:rsidRPr="00307C0C">
              <w:rPr>
                <w:rFonts w:cstheme="minorHAnsi"/>
                <w:lang w:val="ka-GE"/>
              </w:rPr>
              <w:t xml:space="preserve">, </w:t>
            </w:r>
            <w:r w:rsidRPr="00307C0C">
              <w:rPr>
                <w:rFonts w:ascii="Sylfaen" w:hAnsi="Sylfaen" w:cs="Sylfaen"/>
                <w:lang w:val="ka-GE"/>
              </w:rPr>
              <w:t>ოღონდ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დიაგნოზების</w:t>
            </w:r>
            <w:r w:rsidRPr="00307C0C">
              <w:rPr>
                <w:rFonts w:cstheme="minorHAnsi"/>
                <w:lang w:val="ka-GE"/>
              </w:rPr>
              <w:t xml:space="preserve"> </w:t>
            </w:r>
            <w:r w:rsidRPr="00307C0C">
              <w:rPr>
                <w:rFonts w:ascii="Sylfaen" w:hAnsi="Sylfaen" w:cs="Sylfaen"/>
                <w:lang w:val="ka-GE"/>
              </w:rPr>
              <w:t>ჭრილში</w:t>
            </w:r>
          </w:p>
        </w:tc>
        <w:tc>
          <w:tcPr>
            <w:tcW w:w="1530" w:type="dxa"/>
          </w:tcPr>
          <w:p w:rsidR="00267654" w:rsidRPr="00307C0C" w:rsidRDefault="00267654" w:rsidP="00267654">
            <w:pPr>
              <w:rPr>
                <w:rFonts w:cstheme="minorHAnsi"/>
                <w:lang w:val="ka-GE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7</w:t>
            </w:r>
          </w:p>
        </w:tc>
      </w:tr>
      <w:tr w:rsidR="00267654" w:rsidTr="00F46241">
        <w:tc>
          <w:tcPr>
            <w:tcW w:w="14058" w:type="dxa"/>
            <w:gridSpan w:val="4"/>
          </w:tcPr>
          <w:p w:rsidR="00267654" w:rsidRPr="00267654" w:rsidRDefault="00267654" w:rsidP="00267654">
            <w:pPr>
              <w:jc w:val="center"/>
              <w:rPr>
                <w:rFonts w:cstheme="minorHAnsi"/>
                <w:b/>
              </w:rPr>
            </w:pPr>
            <w:r w:rsidRPr="00267654">
              <w:rPr>
                <w:rFonts w:ascii="Sylfaen" w:hAnsi="Sylfaen" w:cstheme="minorHAnsi"/>
                <w:b/>
                <w:lang w:val="ka-GE"/>
              </w:rPr>
              <w:lastRenderedPageBreak/>
              <w:t xml:space="preserve">ინფორმაცია </w:t>
            </w:r>
            <w:r w:rsidRPr="00267654">
              <w:rPr>
                <w:rFonts w:ascii="Sylfaen" w:hAnsi="Sylfaen" w:cstheme="minorHAnsi"/>
                <w:b/>
                <w:lang w:val="ka-GE"/>
              </w:rPr>
              <w:t xml:space="preserve">რეცეტის </w:t>
            </w:r>
            <w:r w:rsidRPr="00267654">
              <w:rPr>
                <w:rFonts w:ascii="Sylfaen" w:hAnsi="Sylfaen" w:cstheme="minorHAnsi"/>
                <w:b/>
                <w:lang w:val="ka-GE"/>
              </w:rPr>
              <w:t>ელექტონულად გამოწერისთვის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PrescriptionOrder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267654" w:rsidRDefault="00267654" w:rsidP="00267654">
            <w:pPr>
              <w:pStyle w:val="Default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all available forms, routes, strengths and other key information about a drug including the </w:t>
            </w: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</w:rPr>
              <w:t>ePrescribing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 name that can be used to prescribe the drug electronically. Also returns Tallman and Synonym names, if available and where applicable.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- რეცეპტის გამოწერისას წამლების სრული სია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GSDD_V40_API_ComputerPrescriberOrderEntry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4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ListOrderableNames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267654" w:rsidRDefault="00267654" w:rsidP="00267654">
            <w:pPr>
              <w:pStyle w:val="Default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a list of drugs based on a drug name entered by the user to help narrow down the options for what should be prescribed, and also returns Tallman and Synonym names, if available and where applicable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- ეს სრული სიაა, როგორც ვხდები, ფილტრაციის ფუნქციით, ისე რომ ექიმი კონკრეტულ მედიკამენდამდე დავიდეს მარტივად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GSDD_V40_API_ComputerPrescriberOrderEntry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4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ListSigAdditionalInstructions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specific SIG details that a prescriber may use to further describe a SIG to improve compliance or enhance safety, based on the supplied filters. If available, also returns SIG synonyms, commonly accepted abbreviations, and global (country-specific) terms 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GSDD_V40_API_ComputerPrescriberOrderEntry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4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ListSigRouteCategories</w:t>
            </w:r>
            <w:proofErr w:type="spellEnd"/>
            <w:r w:rsidRPr="00307C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267654" w:rsidRPr="00307C0C" w:rsidRDefault="00267654" w:rsidP="00267654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267654" w:rsidRDefault="00267654" w:rsidP="00267654">
            <w:pPr>
              <w:pStyle w:val="Default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307C0C">
              <w:rPr>
                <w:rFonts w:asciiTheme="minorHAnsi" w:hAnsiTheme="minorHAnsi" w:cstheme="minorHAnsi"/>
                <w:sz w:val="22"/>
                <w:szCs w:val="22"/>
              </w:rPr>
              <w:t xml:space="preserve">Returns SIG high-level route category identifiers and text for routes and units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- 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lastRenderedPageBreak/>
              <w:t>ინფორმაცია შეყვანის გზის და ერთეულების შესახებ</w:t>
            </w:r>
          </w:p>
          <w:p w:rsidR="00267654" w:rsidRPr="00307C0C" w:rsidRDefault="00267654" w:rsidP="00267654">
            <w:pPr>
              <w:rPr>
                <w:rFonts w:cstheme="minorHAnsi"/>
              </w:rPr>
            </w:pP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lastRenderedPageBreak/>
              <w:t>GSDD_V40_API_ComputerPrescriberOrderEntry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Pr="00307C0C" w:rsidRDefault="00267654" w:rsidP="00267654">
            <w:pPr>
              <w:rPr>
                <w:rFonts w:cstheme="minorHAnsi"/>
              </w:rPr>
            </w:pPr>
            <w:r w:rsidRPr="00307C0C">
              <w:rPr>
                <w:rFonts w:cstheme="minorHAnsi"/>
              </w:rPr>
              <w:t>Page 1</w:t>
            </w:r>
            <w:r w:rsidRPr="00307C0C">
              <w:rPr>
                <w:rFonts w:cstheme="minorHAnsi"/>
                <w:lang w:val="ka-GE"/>
              </w:rPr>
              <w:t>4</w:t>
            </w:r>
          </w:p>
        </w:tc>
      </w:tr>
      <w:tr w:rsidR="00267654" w:rsidTr="00EC58E9">
        <w:tc>
          <w:tcPr>
            <w:tcW w:w="14058" w:type="dxa"/>
            <w:gridSpan w:val="4"/>
            <w:shd w:val="clear" w:color="auto" w:fill="FFFFFF" w:themeFill="background1"/>
          </w:tcPr>
          <w:p w:rsidR="00267654" w:rsidRPr="00267654" w:rsidRDefault="00267654" w:rsidP="00267654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267654">
              <w:rPr>
                <w:rFonts w:ascii="Sylfaen" w:hAnsi="Sylfaen" w:cstheme="minorHAnsi"/>
                <w:b/>
                <w:lang w:val="ka-GE"/>
              </w:rPr>
              <w:lastRenderedPageBreak/>
              <w:t>დოზირების გადამოწმება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DoseCheckBySpecificProduct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/>
        </w:tc>
        <w:tc>
          <w:tcPr>
            <w:tcW w:w="4050" w:type="dxa"/>
          </w:tcPr>
          <w:p w:rsidR="00267654" w:rsidRPr="00267654" w:rsidRDefault="00267654" w:rsidP="00267654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Informs the user whether dosing information entered for a specific product dosage form (in NCPDP billing units) is below the minimum dose, above the maximum dose, or within a normal range for a given identifier. Also retrieves dosing information by specific product dosage form (in NCPDP billing units) indicating if a provided dose is below the minimum dose, above the maximum dose, or within a normal range for a given identifier.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  დოზირებების ფარგლები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GSDD_V40_API_DoseCheck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16</w:t>
            </w:r>
          </w:p>
        </w:tc>
      </w:tr>
      <w:tr w:rsidR="00267654" w:rsidTr="007650AF">
        <w:tc>
          <w:tcPr>
            <w:tcW w:w="14058" w:type="dxa"/>
            <w:gridSpan w:val="4"/>
          </w:tcPr>
          <w:p w:rsidR="00267654" w:rsidRPr="00267654" w:rsidRDefault="00267654" w:rsidP="0026765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267654">
              <w:rPr>
                <w:rFonts w:ascii="Sylfaen" w:hAnsi="Sylfaen"/>
                <w:b/>
                <w:lang w:val="ka-GE"/>
              </w:rPr>
              <w:t>ინფორ</w:t>
            </w:r>
            <w:r>
              <w:rPr>
                <w:rFonts w:ascii="Sylfaen" w:hAnsi="Sylfaen"/>
                <w:b/>
                <w:lang w:val="ka-GE"/>
              </w:rPr>
              <w:t>მ</w:t>
            </w:r>
            <w:r w:rsidRPr="00267654">
              <w:rPr>
                <w:rFonts w:ascii="Sylfaen" w:hAnsi="Sylfaen"/>
                <w:b/>
                <w:lang w:val="ka-GE"/>
              </w:rPr>
              <w:t>აცია წამალთაშორისი ურთიერთქმედებების და წამლის მოქმედების ცხოვრების წესთან თავსებადობის შესახებ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ListDocumentationTypes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/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the Drug-to-Drug and Drug-to-Lifestyle interaction documentation values, along with their internal identifiers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GSDD_V40_API_DrugDrugLifestyleInteractions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ListDrugInteractionReferences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the supporting citation (reference) details for the drug interaction information, based on a supplied drug interaction identifier input parameter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GSDD_V40_API_DrugDrugLifestyleInteractions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ListLifestyleInteractionReferences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the supporting citation (reference) details for the drug-to-lifestyle interaction information, based on a supplied drug interaction identifier input parameter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GSDD_V40_API_DrugDrugLifestyleInteractions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ListSeverityTypes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Pr="00267654" w:rsidRDefault="00267654" w:rsidP="00267654">
            <w:pPr>
              <w:pStyle w:val="Default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Returns the Drug-to-Drug and Drug-to-Lifestyle interaction severity ranking values, along with their internal identifiers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-  ეს გვერდითი მოვლენების და ურთიერთქმედებების სიმძიმეს აჩვენებს, შესაძლოა არ გვინდოდეს საწყის ეტაპზე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GSDD_V40_API_DrugDrugLifestyleInteractions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7B5AD5" w:rsidTr="00D374FB">
        <w:tc>
          <w:tcPr>
            <w:tcW w:w="14058" w:type="dxa"/>
            <w:gridSpan w:val="4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ინფორმაცია სპეც. კონტროლის, მათი კოდირების/კლასიფიკაციის და გაცემის რეჟიმის შესახებ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lastRenderedPageBreak/>
              <w:t>ListFederal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Drug Enforcement Agency (DEA) classifications for controlled substances in the United States that is available, along with their internal identifiers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GSDD_V40_API_FederalState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11-12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ListLegendStatuses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of Gold Standard’s Rx and OTC statuses, along with their internal identifiers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GSDD_V40_API_FederalState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11-12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ListFederalDEAClassifications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Drug Enforcement Agency (DEA) classifications </w:t>
            </w:r>
          </w:p>
          <w:p w:rsidR="00267654" w:rsidRDefault="00267654" w:rsidP="00267654"/>
        </w:tc>
        <w:tc>
          <w:tcPr>
            <w:tcW w:w="4950" w:type="dxa"/>
          </w:tcPr>
          <w:p w:rsidR="00267654" w:rsidRDefault="00267654" w:rsidP="00267654">
            <w:r w:rsidRPr="006B00C6">
              <w:t>GSDD_V40_API_FederalState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11-12</w:t>
            </w:r>
          </w:p>
        </w:tc>
      </w:tr>
      <w:tr w:rsidR="007B5AD5" w:rsidTr="00764029">
        <w:tc>
          <w:tcPr>
            <w:tcW w:w="14058" w:type="dxa"/>
            <w:gridSpan w:val="4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ინფორმაცია შეფუთვა/მარკირების შესახებ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ListProductImages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package, drug, or non-drug image identifiers and image types that can be used with the </w:t>
            </w:r>
            <w:r>
              <w:rPr>
                <w:sz w:val="18"/>
                <w:szCs w:val="18"/>
                <w:u w:val="single"/>
              </w:rPr>
              <w:t xml:space="preserve">GET Image </w:t>
            </w:r>
            <w:r>
              <w:rPr>
                <w:sz w:val="18"/>
                <w:szCs w:val="18"/>
              </w:rPr>
              <w:t xml:space="preserve">method request to retrieve the image file.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pPr>
              <w:rPr>
                <w:rFonts w:ascii="Sylfaen" w:hAnsi="Sylfaen"/>
                <w:lang w:val="ka-GE"/>
              </w:rPr>
            </w:pPr>
            <w:r w:rsidRPr="007C677E">
              <w:t>GSDD_V40_API_Images</w:t>
            </w:r>
            <w:r>
              <w:t xml:space="preserve"> - </w:t>
            </w:r>
            <w:r>
              <w:rPr>
                <w:rFonts w:ascii="Sylfaen" w:hAnsi="Sylfaen"/>
                <w:lang w:val="ka-GE"/>
              </w:rPr>
              <w:t>ეს და შემდეგი მგონია, რომ ერთნაირია, უნრალოდ სხვადასხვა მეთოდით მოაქვს. ვნახოთ მაინც ორივე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r>
              <w:rPr>
                <w:sz w:val="18"/>
                <w:szCs w:val="18"/>
                <w:u w:val="single"/>
              </w:rPr>
              <w:t xml:space="preserve">GET Image Method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Retrieve the package, drug item, and/or nondrug item image files associated to a product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6B00C6" w:rsidRDefault="00267654" w:rsidP="00267654">
            <w:r w:rsidRPr="007C677E">
              <w:t>GSDD_V40_API_Images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19</w:t>
            </w:r>
          </w:p>
        </w:tc>
      </w:tr>
      <w:tr w:rsidR="007B5AD5" w:rsidTr="00E61D0B">
        <w:tc>
          <w:tcPr>
            <w:tcW w:w="14058" w:type="dxa"/>
            <w:gridSpan w:val="4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ინფორმაცია წამლის ი/ვ თავსებადობის შესახებ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AlchemyClinical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AlchemyClinical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(IV Compatibility) </w:t>
            </w:r>
            <w:r>
              <w:rPr>
                <w:sz w:val="18"/>
                <w:szCs w:val="18"/>
              </w:rPr>
              <w:t xml:space="preserve">Returns all IV compatibility information for a patient’s prescribed and/or prescribing medication therapy, based on supplied drug identifiers and optional filters,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Default="00267654" w:rsidP="00267654">
            <w:pPr>
              <w:rPr>
                <w:rFonts w:ascii="Sylfaen" w:hAnsi="Sylfaen"/>
                <w:lang w:val="ka-GE"/>
              </w:rPr>
            </w:pPr>
            <w:r w:rsidRPr="007C677E">
              <w:t>GSDD_V40_API_IVCompatibility</w:t>
            </w:r>
            <w:r>
              <w:rPr>
                <w:rFonts w:ascii="Sylfaen" w:hAnsi="Sylfaen"/>
                <w:lang w:val="ka-GE"/>
              </w:rPr>
              <w:t xml:space="preserve"> -  ეს თავდაპირველად ისე არ დაგვჭირდება, მაგრამ ვნახოთ მაინც რას ეხება, ინტრავენური მკურნალობის საშულებებზეა, მაგალითისთვის გვქონდეს</w:t>
            </w:r>
          </w:p>
          <w:p w:rsidR="00267654" w:rsidRPr="007C677E" w:rsidRDefault="00267654" w:rsidP="002676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30" w:type="dxa"/>
          </w:tcPr>
          <w:p w:rsidR="00267654" w:rsidRDefault="00267654" w:rsidP="00267654">
            <w:r>
              <w:t>Page 9</w:t>
            </w:r>
          </w:p>
        </w:tc>
      </w:tr>
      <w:tr w:rsidR="007B5AD5" w:rsidTr="001B5AAC">
        <w:tc>
          <w:tcPr>
            <w:tcW w:w="14058" w:type="dxa"/>
            <w:gridSpan w:val="4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წამლის მონოგრაფიები (მომდევნო 4 აუცილებლად გვინდა)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</w:rPr>
              <w:t>ContentMonograph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the </w:t>
            </w:r>
            <w:r>
              <w:rPr>
                <w:i/>
                <w:iCs/>
                <w:sz w:val="18"/>
                <w:szCs w:val="18"/>
              </w:rPr>
              <w:t xml:space="preserve">Clinical Pharmacology </w:t>
            </w:r>
            <w:r>
              <w:rPr>
                <w:sz w:val="18"/>
                <w:szCs w:val="18"/>
              </w:rPr>
              <w:t xml:space="preserve">professional drug monograph, in raw text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pPr>
              <w:rPr>
                <w:rFonts w:ascii="Sylfaen" w:hAnsi="Sylfaen"/>
                <w:lang w:val="ka-GE"/>
              </w:rPr>
            </w:pPr>
            <w:r w:rsidRPr="007C677E">
              <w:t>GSDD_V40_API_Monographs_PatientEdLeaflets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ეს</w:t>
            </w:r>
            <w:proofErr w:type="gramEnd"/>
            <w:r>
              <w:rPr>
                <w:rFonts w:ascii="Sylfaen" w:hAnsi="Sylfaen"/>
                <w:lang w:val="ka-GE"/>
              </w:rPr>
              <w:t xml:space="preserve"> და ამის შემდგომ ოთხივე გვინდა აუცილებლად, ამაში იქნება მონოგრაფიები ექიმისთვის და ინსტრუქციები პაციენტისთვის. </w:t>
            </w:r>
          </w:p>
        </w:tc>
        <w:tc>
          <w:tcPr>
            <w:tcW w:w="1530" w:type="dxa"/>
          </w:tcPr>
          <w:p w:rsidR="00267654" w:rsidRPr="007C677E" w:rsidRDefault="00267654" w:rsidP="00267654">
            <w:pPr>
              <w:rPr>
                <w:rFonts w:ascii="Sylfaen" w:hAnsi="Sylfaen"/>
                <w:lang w:val="ka-GE"/>
              </w:rPr>
            </w:pPr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</w:rPr>
              <w:t>ContentMonographSectionXML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 specific section of a monograph provided within Dose Check and/or Drug Disease call relating to a drug indication, contraindication, or dosing, along with details </w:t>
            </w:r>
            <w:r>
              <w:rPr>
                <w:sz w:val="18"/>
                <w:szCs w:val="18"/>
              </w:rPr>
              <w:lastRenderedPageBreak/>
              <w:t xml:space="preserve">for the reviewed drug/product/item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r w:rsidRPr="007C677E">
              <w:lastRenderedPageBreak/>
              <w:t>GSDD_V40_API_Monographs_PatientEdLeaflets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</w:rPr>
              <w:lastRenderedPageBreak/>
              <w:t>ContentMonographXML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sections of the monograph related to a drug/product/item requested by the user.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r w:rsidRPr="007C677E">
              <w:t>GSDD_V40_API_Monographs_PatientEdLeaflets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</w:rPr>
              <w:t>ContentPatientEducation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 Patient Education Leaflet in well-formed XML.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r w:rsidRPr="007C677E">
              <w:t>GSDD_V40_API_Monographs_PatientEdLeaflets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267654" w:rsidTr="00267654">
        <w:tc>
          <w:tcPr>
            <w:tcW w:w="3528" w:type="dxa"/>
            <w:shd w:val="clear" w:color="auto" w:fill="D9D9D9" w:themeFill="background1" w:themeFillShade="D9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</w:rPr>
              <w:t>ListLanguages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  <w:shd w:val="clear" w:color="auto" w:fill="EEECE1" w:themeFill="background2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of the Language codes, along with their internal Language Code identifiers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  <w:shd w:val="clear" w:color="auto" w:fill="EEECE1" w:themeFill="background2"/>
          </w:tcPr>
          <w:p w:rsidR="00267654" w:rsidRPr="007C677E" w:rsidRDefault="00267654" w:rsidP="00267654">
            <w:r w:rsidRPr="007C677E">
              <w:t>GSDD_V40_API_Monographs_PatientEdLeaflets</w:t>
            </w:r>
          </w:p>
        </w:tc>
        <w:tc>
          <w:tcPr>
            <w:tcW w:w="1530" w:type="dxa"/>
            <w:shd w:val="clear" w:color="auto" w:fill="EEECE1" w:themeFill="background2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7B5AD5" w:rsidTr="007B5AD5">
        <w:tc>
          <w:tcPr>
            <w:tcW w:w="14058" w:type="dxa"/>
            <w:gridSpan w:val="4"/>
            <w:shd w:val="clear" w:color="auto" w:fill="FFFFFF" w:themeFill="background1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წამლის თავსებადობა ორსულობა/ლაქტაციასთან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PregnancyAndLactationByDrug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drug compatibility information based on pregnancy, lactation, labor/delivery, and childbearing age categories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r w:rsidRPr="00761ABE">
              <w:t>GSDD_V40_API_PregnancyLactation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PregnancyAndLactationInfoByDiagnosis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Provides the clinician with information about drugs indicated for a particular disease or condition for those females of childbearing age who may be pregnant and/or lactating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C677E" w:rsidRDefault="00267654" w:rsidP="00267654">
            <w:r w:rsidRPr="00761ABE">
              <w:t>GSDD_V40_API_PregnancyLactation</w:t>
            </w:r>
          </w:p>
        </w:tc>
        <w:tc>
          <w:tcPr>
            <w:tcW w:w="1530" w:type="dxa"/>
          </w:tcPr>
          <w:p w:rsidR="00267654" w:rsidRDefault="00267654" w:rsidP="00267654">
            <w:r>
              <w:t>Page 1</w:t>
            </w:r>
            <w:r>
              <w:rPr>
                <w:rFonts w:ascii="Sylfaen" w:hAnsi="Sylfaen"/>
                <w:lang w:val="ka-GE"/>
              </w:rPr>
              <w:t>0</w:t>
            </w:r>
          </w:p>
        </w:tc>
      </w:tr>
      <w:tr w:rsidR="007B5AD5" w:rsidTr="00B62EBF">
        <w:tc>
          <w:tcPr>
            <w:tcW w:w="14058" w:type="dxa"/>
            <w:gridSpan w:val="4"/>
          </w:tcPr>
          <w:p w:rsidR="007B5AD5" w:rsidRPr="007B5AD5" w:rsidRDefault="007B5AD5" w:rsidP="007B5AD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B5AD5">
              <w:rPr>
                <w:rFonts w:ascii="Sylfaen" w:hAnsi="Sylfaen"/>
                <w:b/>
                <w:lang w:val="ka-GE"/>
              </w:rPr>
              <w:t>ინფორმაცია წამლის სხვადასხვა ფასების შეფუთვის და ა.შ. მიხედვით</w:t>
            </w:r>
            <w:r>
              <w:rPr>
                <w:rFonts w:ascii="Sylfaen" w:hAnsi="Sylfaen"/>
                <w:b/>
                <w:lang w:val="ka-GE"/>
              </w:rPr>
              <w:t xml:space="preserve"> (მხოლოდ ქლაუდისთვის)</w:t>
            </w:r>
          </w:p>
        </w:tc>
      </w:tr>
      <w:tr w:rsidR="00267654" w:rsidTr="00267654">
        <w:tc>
          <w:tcPr>
            <w:tcW w:w="3528" w:type="dxa"/>
          </w:tcPr>
          <w:p w:rsidR="00267654" w:rsidRDefault="00267654" w:rsidP="00267654">
            <w:pPr>
              <w:pStyle w:val="Default"/>
            </w:pPr>
            <w:proofErr w:type="spellStart"/>
            <w:r>
              <w:rPr>
                <w:sz w:val="18"/>
                <w:szCs w:val="18"/>
                <w:u w:val="single"/>
              </w:rPr>
              <w:t>ListPackagePrices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</w:p>
        </w:tc>
        <w:tc>
          <w:tcPr>
            <w:tcW w:w="4050" w:type="dxa"/>
          </w:tcPr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Returns all active and historical price records for a package, regardless of price type </w:t>
            </w:r>
          </w:p>
          <w:p w:rsidR="00267654" w:rsidRDefault="00267654" w:rsidP="0026765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0" w:type="dxa"/>
          </w:tcPr>
          <w:p w:rsidR="00267654" w:rsidRPr="00761ABE" w:rsidRDefault="00267654" w:rsidP="00267654">
            <w:pPr>
              <w:rPr>
                <w:rFonts w:ascii="Sylfaen" w:hAnsi="Sylfaen"/>
                <w:lang w:val="ka-GE"/>
              </w:rPr>
            </w:pPr>
            <w:r w:rsidRPr="00761ABE">
              <w:t>GSDD_V40_API_Pricing</w:t>
            </w:r>
            <w:r>
              <w:rPr>
                <w:rFonts w:ascii="Sylfaen" w:hAnsi="Sylfaen"/>
                <w:lang w:val="ka-GE"/>
              </w:rPr>
              <w:t xml:space="preserve"> -  ეს ფასების შესახებ მაგალითისთვის გვინდა მხოლოდ, ამას საქართველოში ვერ გამოვიყენებთ, მაგრამ იქნებ სტრუქტურა ვნახოთ რაც ქლაუდისთვის გამოგვადგება</w:t>
            </w:r>
          </w:p>
        </w:tc>
        <w:tc>
          <w:tcPr>
            <w:tcW w:w="1530" w:type="dxa"/>
          </w:tcPr>
          <w:p w:rsidR="00267654" w:rsidRPr="00761ABE" w:rsidRDefault="00267654" w:rsidP="00267654">
            <w:pPr>
              <w:rPr>
                <w:rFonts w:ascii="Sylfaen" w:hAnsi="Sylfaen"/>
                <w:lang w:val="ka-GE"/>
              </w:rPr>
            </w:pPr>
            <w:r>
              <w:t xml:space="preserve">Page </w:t>
            </w:r>
            <w:r>
              <w:rPr>
                <w:rFonts w:ascii="Sylfaen" w:hAnsi="Sylfaen"/>
                <w:lang w:val="ka-GE"/>
              </w:rPr>
              <w:t>22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Reported Price Types</w:t>
            </w: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1F3757" w:rsidRDefault="00267654" w:rsidP="002676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ეს ქლაუდისთვის იქნება საინტერესო</w:t>
            </w: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1F3757" w:rsidRDefault="00267654" w:rsidP="00267654">
            <w:pPr>
              <w:rPr>
                <w:rFonts w:ascii="Sylfaen" w:hAnsi="Sylfaen"/>
                <w:lang w:val="ka-GE"/>
              </w:rPr>
            </w:pPr>
            <w:r w:rsidRPr="001F3757">
              <w:rPr>
                <w:rFonts w:ascii="Sylfaen" w:hAnsi="Sylfaen"/>
                <w:lang w:val="ka-GE"/>
              </w:rPr>
              <w:t>GSDD_V40_API_ProductPackage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Pr="001F3757" w:rsidRDefault="00267654" w:rsidP="00267654">
            <w:pPr>
              <w:rPr>
                <w:rFonts w:ascii="Sylfaen" w:hAnsi="Sylfaen"/>
                <w:lang w:val="ka-GE"/>
              </w:rPr>
            </w:pPr>
            <w:r>
              <w:t xml:space="preserve">Page </w:t>
            </w:r>
            <w:r>
              <w:rPr>
                <w:rFonts w:ascii="Sylfaen" w:hAnsi="Sylfaen"/>
                <w:lang w:val="ka-GE"/>
              </w:rPr>
              <w:t>32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Price Change Reasons</w:t>
            </w: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761ABE" w:rsidRDefault="00267654" w:rsidP="00267654">
            <w:r>
              <w:rPr>
                <w:rFonts w:ascii="Sylfaen" w:hAnsi="Sylfaen"/>
                <w:lang w:val="ka-GE"/>
              </w:rPr>
              <w:t>იგივე</w:t>
            </w: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761ABE" w:rsidRDefault="00267654" w:rsidP="00267654">
            <w:r w:rsidRPr="001F3757">
              <w:t>GSDD_V40_API_ProductPackage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Default="00267654" w:rsidP="00267654">
            <w:r>
              <w:t xml:space="preserve">Page </w:t>
            </w:r>
            <w:r>
              <w:rPr>
                <w:rFonts w:ascii="Sylfaen" w:hAnsi="Sylfaen"/>
                <w:lang w:val="ka-GE"/>
              </w:rPr>
              <w:t>32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Default="00267654" w:rsidP="00267654">
            <w:pPr>
              <w:pStyle w:val="Default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Search for Product Details Based on a Drug Product</w:t>
            </w: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761ABE" w:rsidRDefault="00267654" w:rsidP="00267654">
            <w:r>
              <w:rPr>
                <w:rFonts w:ascii="Sylfaen" w:hAnsi="Sylfaen"/>
                <w:lang w:val="ka-GE"/>
              </w:rPr>
              <w:t>იგივე</w:t>
            </w: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761ABE" w:rsidRDefault="00267654" w:rsidP="00267654">
            <w:r w:rsidRPr="001F3757">
              <w:t>GSDD_V40_API_ProductPackage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Default="00267654" w:rsidP="00267654">
            <w:r>
              <w:t xml:space="preserve">Page </w:t>
            </w:r>
            <w:r>
              <w:rPr>
                <w:rFonts w:ascii="Sylfaen" w:hAnsi="Sylfaen"/>
                <w:lang w:val="ka-GE"/>
              </w:rPr>
              <w:t>42</w:t>
            </w:r>
          </w:p>
        </w:tc>
      </w:tr>
      <w:tr w:rsidR="00267654" w:rsidTr="00267654">
        <w:tc>
          <w:tcPr>
            <w:tcW w:w="3528" w:type="dxa"/>
            <w:shd w:val="clear" w:color="auto" w:fill="C2D69B" w:themeFill="accent3" w:themeFillTint="99"/>
          </w:tcPr>
          <w:p w:rsidR="00267654" w:rsidRDefault="00267654" w:rsidP="00267654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Search for Package Details Based on a Drug Product</w:t>
            </w:r>
          </w:p>
          <w:p w:rsidR="00267654" w:rsidRPr="001F3757" w:rsidRDefault="00267654" w:rsidP="00267654">
            <w:pPr>
              <w:pStyle w:val="Default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</w:p>
        </w:tc>
        <w:tc>
          <w:tcPr>
            <w:tcW w:w="4050" w:type="dxa"/>
            <w:shd w:val="clear" w:color="auto" w:fill="C2D69B" w:themeFill="accent3" w:themeFillTint="99"/>
          </w:tcPr>
          <w:p w:rsidR="00267654" w:rsidRPr="00761ABE" w:rsidRDefault="00267654" w:rsidP="00267654">
            <w:r>
              <w:rPr>
                <w:rFonts w:ascii="Sylfaen" w:hAnsi="Sylfaen"/>
                <w:lang w:val="ka-GE"/>
              </w:rPr>
              <w:t>იგივე</w:t>
            </w:r>
          </w:p>
        </w:tc>
        <w:tc>
          <w:tcPr>
            <w:tcW w:w="4950" w:type="dxa"/>
            <w:shd w:val="clear" w:color="auto" w:fill="C2D69B" w:themeFill="accent3" w:themeFillTint="99"/>
          </w:tcPr>
          <w:p w:rsidR="00267654" w:rsidRPr="00761ABE" w:rsidRDefault="00267654" w:rsidP="00267654">
            <w:r w:rsidRPr="001F3757">
              <w:t>GSDD_V40_API_ProductPackage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267654" w:rsidRDefault="00267654" w:rsidP="00267654">
            <w:r>
              <w:t xml:space="preserve">Page </w:t>
            </w:r>
            <w:r>
              <w:rPr>
                <w:rFonts w:ascii="Sylfaen" w:hAnsi="Sylfaen"/>
                <w:lang w:val="ka-GE"/>
              </w:rPr>
              <w:t>42</w:t>
            </w:r>
          </w:p>
        </w:tc>
      </w:tr>
    </w:tbl>
    <w:p w:rsidR="00267654" w:rsidRPr="006B00C6" w:rsidRDefault="00267654" w:rsidP="00267654"/>
    <w:p w:rsidR="0016667F" w:rsidRDefault="0016667F">
      <w:bookmarkStart w:id="0" w:name="_GoBack"/>
      <w:bookmarkEnd w:id="0"/>
    </w:p>
    <w:sectPr w:rsidR="0016667F" w:rsidSect="002676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F7C68"/>
    <w:multiLevelType w:val="hybridMultilevel"/>
    <w:tmpl w:val="7F848488"/>
    <w:lvl w:ilvl="0" w:tplc="0178AD14">
      <w:numFmt w:val="bullet"/>
      <w:lvlText w:val="-"/>
      <w:lvlJc w:val="left"/>
      <w:pPr>
        <w:ind w:left="261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54"/>
    <w:rsid w:val="0016667F"/>
    <w:rsid w:val="00267654"/>
    <w:rsid w:val="007B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54"/>
    <w:pPr>
      <w:ind w:left="720"/>
      <w:contextualSpacing/>
    </w:pPr>
  </w:style>
  <w:style w:type="table" w:styleId="TableGrid">
    <w:name w:val="Table Grid"/>
    <w:basedOn w:val="TableNormal"/>
    <w:uiPriority w:val="59"/>
    <w:rsid w:val="0026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7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54"/>
    <w:pPr>
      <w:ind w:left="720"/>
      <w:contextualSpacing/>
    </w:pPr>
  </w:style>
  <w:style w:type="table" w:styleId="TableGrid">
    <w:name w:val="Table Grid"/>
    <w:basedOn w:val="TableNormal"/>
    <w:uiPriority w:val="59"/>
    <w:rsid w:val="0026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7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1</cp:revision>
  <dcterms:created xsi:type="dcterms:W3CDTF">2012-06-05T11:35:00Z</dcterms:created>
  <dcterms:modified xsi:type="dcterms:W3CDTF">2012-06-05T11:51:00Z</dcterms:modified>
</cp:coreProperties>
</file>